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A9D55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7069F">
        <w:rPr>
          <w:rFonts w:ascii="Arial" w:hAnsi="Arial"/>
          <w:sz w:val="22"/>
          <w:szCs w:val="22"/>
        </w:rPr>
        <w:t>JANUARY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07E7529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A975DD">
        <w:rPr>
          <w:rFonts w:ascii="Arial" w:hAnsi="Arial" w:cs="Arial"/>
          <w:b/>
          <w:sz w:val="22"/>
          <w:szCs w:val="22"/>
        </w:rPr>
        <w:t>32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A975DD">
        <w:rPr>
          <w:rFonts w:ascii="Arial" w:hAnsi="Arial" w:cs="Arial"/>
          <w:b/>
          <w:sz w:val="22"/>
          <w:szCs w:val="22"/>
        </w:rPr>
        <w:t>2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3F9EEA80" w14:textId="77777777" w:rsidR="009A281A" w:rsidRPr="009A281A" w:rsidRDefault="009A281A" w:rsidP="009A28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UL 60950-1</w:t>
      </w: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E6D944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817510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4AEF817F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record 4K at </w:t>
      </w:r>
      <w:r w:rsidR="007D18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fps video on all HDCVI channels.</w:t>
      </w:r>
    </w:p>
    <w:p w14:paraId="3AD4040B" w14:textId="6A6A85EB" w:rsidR="00817510" w:rsidRDefault="00817510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5B95B8C" w14:textId="2D55A9F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7D18C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 w:rsidR="009A281A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75013A36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4B2329BF" w14:textId="6664DDE1" w:rsidR="0027069F" w:rsidRDefault="0027069F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</w:t>
      </w:r>
      <w:r>
        <w:rPr>
          <w:rFonts w:ascii="Arial" w:hAnsi="Arial" w:cs="Arial"/>
          <w:sz w:val="22"/>
          <w:szCs w:val="22"/>
        </w:rPr>
        <w:t xml:space="preserve"> offer a coding function that puts recording emphasis on human and vehicular objects.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73758F39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7D18CA">
        <w:rPr>
          <w:rFonts w:ascii="Arial" w:hAnsi="Arial" w:cs="Arial"/>
          <w:sz w:val="22"/>
          <w:szCs w:val="22"/>
        </w:rPr>
        <w:t>2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8DDC3B9" w14:textId="3F27613A" w:rsidR="00817510" w:rsidRDefault="0081751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</w:t>
      </w:r>
      <w:proofErr w:type="gramStart"/>
      <w:r w:rsidR="0027069F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</w:t>
      </w:r>
      <w:r w:rsidR="0027069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TB] </w:t>
      </w:r>
      <w:r w:rsidR="0027069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TB] [</w:t>
      </w:r>
      <w:r w:rsidR="002706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TB].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27069F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27069F" w:rsidRDefault="009F2C01" w:rsidP="006658F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27069F" w:rsidRDefault="001B6545" w:rsidP="001B6545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27069F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27069F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Pr="0027069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27069F" w:rsidRDefault="001B6545" w:rsidP="006658FC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DA2079B" w14:textId="0F5B4BC0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7D18CA">
        <w:rPr>
          <w:rFonts w:ascii="Arial" w:hAnsi="Arial" w:cs="Arial"/>
          <w:sz w:val="22"/>
          <w:szCs w:val="22"/>
        </w:rPr>
        <w:t>32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7D18CA">
        <w:rPr>
          <w:rFonts w:ascii="Arial" w:hAnsi="Arial" w:cs="Arial"/>
          <w:sz w:val="22"/>
          <w:szCs w:val="22"/>
        </w:rPr>
        <w:t>2</w:t>
      </w:r>
      <w:r w:rsidR="009F74BC">
        <w:rPr>
          <w:rFonts w:ascii="Arial" w:hAnsi="Arial" w:cs="Arial"/>
          <w:sz w:val="22"/>
          <w:szCs w:val="22"/>
        </w:rPr>
        <w:t>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817510">
        <w:rPr>
          <w:rFonts w:ascii="Arial" w:hAnsi="Arial" w:cs="Arial"/>
          <w:sz w:val="22"/>
          <w:szCs w:val="22"/>
        </w:rPr>
        <w:t>X</w:t>
      </w:r>
      <w:r w:rsidR="007D18CA">
        <w:rPr>
          <w:rFonts w:ascii="Arial" w:hAnsi="Arial" w:cs="Arial"/>
          <w:sz w:val="22"/>
          <w:szCs w:val="22"/>
        </w:rPr>
        <w:t>88B5S</w:t>
      </w:r>
      <w:r w:rsidR="0027069F">
        <w:rPr>
          <w:rFonts w:ascii="Arial" w:hAnsi="Arial" w:cs="Arial"/>
          <w:sz w:val="22"/>
          <w:szCs w:val="22"/>
        </w:rPr>
        <w:t>4</w:t>
      </w:r>
      <w:r w:rsidR="00ED7501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</w:t>
      </w:r>
      <w:r w:rsidR="007D18CA">
        <w:rPr>
          <w:rFonts w:ascii="Arial" w:hAnsi="Arial" w:cs="Arial"/>
          <w:sz w:val="22"/>
          <w:szCs w:val="22"/>
        </w:rPr>
        <w:t>[</w:t>
      </w:r>
      <w:r w:rsidR="007D18CA">
        <w:rPr>
          <w:rFonts w:ascii="Arial" w:hAnsi="Arial" w:cs="Arial"/>
          <w:sz w:val="22"/>
          <w:szCs w:val="22"/>
        </w:rPr>
        <w:t>X88B5S</w:t>
      </w:r>
      <w:r w:rsidR="007D18C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6</w:t>
      </w:r>
      <w:r w:rsidR="00817510">
        <w:rPr>
          <w:rFonts w:ascii="Arial" w:hAnsi="Arial" w:cs="Arial"/>
          <w:sz w:val="22"/>
          <w:szCs w:val="22"/>
        </w:rPr>
        <w:t>] [</w:t>
      </w:r>
      <w:r w:rsidR="007D18CA">
        <w:rPr>
          <w:rFonts w:ascii="Arial" w:hAnsi="Arial" w:cs="Arial"/>
          <w:sz w:val="22"/>
          <w:szCs w:val="22"/>
        </w:rPr>
        <w:t>X88B5S</w:t>
      </w:r>
      <w:r w:rsidR="007D18C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8</w:t>
      </w:r>
      <w:r w:rsidR="00817510">
        <w:rPr>
          <w:rFonts w:ascii="Arial" w:hAnsi="Arial" w:cs="Arial"/>
          <w:sz w:val="22"/>
          <w:szCs w:val="22"/>
        </w:rPr>
        <w:t>] [</w:t>
      </w:r>
      <w:r w:rsidR="007D18CA">
        <w:rPr>
          <w:rFonts w:ascii="Arial" w:hAnsi="Arial" w:cs="Arial"/>
          <w:sz w:val="22"/>
          <w:szCs w:val="22"/>
        </w:rPr>
        <w:t>X88B5S</w:t>
      </w:r>
      <w:r w:rsidR="0027069F">
        <w:rPr>
          <w:rFonts w:ascii="Arial" w:hAnsi="Arial" w:cs="Arial"/>
          <w:sz w:val="22"/>
          <w:szCs w:val="22"/>
        </w:rPr>
        <w:t>10</w:t>
      </w:r>
      <w:r w:rsidR="0081751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4EBCD7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18AF777F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4K at 7 fps video on all HDCVI channels.</w:t>
      </w:r>
    </w:p>
    <w:p w14:paraId="1E88127D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653A0699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80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7E1BF677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the Smart H.265+, H.265, Smart H.264+, and H.264 Video compression protocols.</w:t>
      </w:r>
    </w:p>
    <w:p w14:paraId="11CB4019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coding function that puts recording emphasis on human and vehicular objects.</w:t>
      </w:r>
    </w:p>
    <w:p w14:paraId="3D66C524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2AA5C98D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3531E709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567922AE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003441F6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2U-high casing.</w:t>
      </w:r>
    </w:p>
    <w:p w14:paraId="6FD31830" w14:textId="77777777" w:rsidR="007D18CA" w:rsidRDefault="007D18CA" w:rsidP="007D18C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TB] [6 TB] 8 TB] [10 TB].</w:t>
      </w:r>
    </w:p>
    <w:p w14:paraId="5B30A8CC" w14:textId="77777777" w:rsidR="0027069F" w:rsidRDefault="0027069F" w:rsidP="0027069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1ABCF000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two (2</w:t>
      </w:r>
      <w:r w:rsidR="00FB0470">
        <w:rPr>
          <w:rFonts w:ascii="Arial" w:hAnsi="Arial" w:cs="Arial"/>
          <w:sz w:val="22"/>
          <w:szCs w:val="22"/>
        </w:rPr>
        <w:t>) HDMI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20AF5BF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27069F">
        <w:rPr>
          <w:rFonts w:ascii="Arial" w:hAnsi="Arial" w:cs="Arial"/>
          <w:sz w:val="22"/>
          <w:szCs w:val="22"/>
        </w:rPr>
        <w:t xml:space="preserve"> shall offer one (1) spot</w:t>
      </w:r>
      <w:r>
        <w:rPr>
          <w:rFonts w:ascii="Arial" w:hAnsi="Arial" w:cs="Arial"/>
          <w:sz w:val="22"/>
          <w:szCs w:val="22"/>
        </w:rPr>
        <w:t xml:space="preserve">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28C3A095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>3480 x 2160, 2560 x 1440</w:t>
      </w:r>
      <w:r w:rsidR="00FB0470">
        <w:rPr>
          <w:rFonts w:ascii="Arial" w:hAnsi="Arial" w:cs="Arial"/>
          <w:sz w:val="22"/>
          <w:szCs w:val="22"/>
        </w:rPr>
        <w:t>,</w:t>
      </w:r>
      <w:r w:rsidR="003C3FEB">
        <w:rPr>
          <w:rFonts w:ascii="Arial" w:hAnsi="Arial" w:cs="Arial"/>
          <w:sz w:val="22"/>
          <w:szCs w:val="22"/>
        </w:rPr>
        <w:t xml:space="preserve">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2930F0A9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>1920 x 1080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28095328" w:rsidR="00890FB9" w:rsidRDefault="00890FB9" w:rsidP="0027069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 xml:space="preserve">IP extension mode enabled: </w:t>
      </w:r>
      <w:r w:rsidR="0027069F" w:rsidRPr="0027069F">
        <w:rPr>
          <w:rFonts w:ascii="Arial" w:hAnsi="Arial" w:cs="Arial"/>
          <w:sz w:val="22"/>
          <w:szCs w:val="22"/>
        </w:rPr>
        <w:t>1/4/8/9/16/25/36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22FA0A00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video loss, tampering, and diagnosis. </w:t>
      </w:r>
    </w:p>
    <w:p w14:paraId="1E4DDB7C" w14:textId="066A326B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27069F">
        <w:rPr>
          <w:rFonts w:ascii="Arial" w:hAnsi="Arial" w:cs="Arial"/>
          <w:sz w:val="22"/>
          <w:szCs w:val="22"/>
        </w:rPr>
        <w:t>six (6</w:t>
      </w:r>
      <w:r w:rsidR="00890FB9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2DB14D52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7D18CA">
        <w:rPr>
          <w:rFonts w:ascii="Arial" w:hAnsi="Arial" w:cs="Arial"/>
          <w:sz w:val="22"/>
          <w:szCs w:val="22"/>
        </w:rPr>
        <w:t>32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3A7CF97F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</w:t>
      </w:r>
      <w:r w:rsidR="007D18CA">
        <w:rPr>
          <w:rFonts w:ascii="Arial" w:hAnsi="Arial" w:cs="Arial"/>
          <w:sz w:val="22"/>
          <w:szCs w:val="22"/>
        </w:rPr>
        <w:t>ord incoming audio signals from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7D18CA">
        <w:rPr>
          <w:rFonts w:ascii="Arial" w:hAnsi="Arial" w:cs="Arial"/>
          <w:sz w:val="22"/>
          <w:szCs w:val="22"/>
        </w:rPr>
        <w:t xml:space="preserve">16 </w:t>
      </w:r>
      <w:r w:rsidR="00C132F9">
        <w:rPr>
          <w:rFonts w:ascii="Arial" w:hAnsi="Arial" w:cs="Arial"/>
          <w:sz w:val="22"/>
          <w:szCs w:val="22"/>
        </w:rPr>
        <w:t>audio inputs</w:t>
      </w:r>
      <w:r>
        <w:rPr>
          <w:rFonts w:ascii="Arial" w:hAnsi="Arial" w:cs="Arial"/>
          <w:sz w:val="22"/>
          <w:szCs w:val="22"/>
        </w:rPr>
        <w:t>.</w:t>
      </w:r>
    </w:p>
    <w:p w14:paraId="6A04AF98" w14:textId="06263BB3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7A1918A6" w:rsidR="00890FB9" w:rsidRPr="00C132F9" w:rsidRDefault="00890FB9" w:rsidP="002D4FE5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32F9">
        <w:rPr>
          <w:rFonts w:ascii="Arial" w:hAnsi="Arial" w:cs="Arial"/>
          <w:sz w:val="22"/>
          <w:szCs w:val="22"/>
        </w:rPr>
        <w:t xml:space="preserve">HDCVI: </w:t>
      </w:r>
      <w:r w:rsidR="00C132F9" w:rsidRPr="00C132F9">
        <w:rPr>
          <w:rFonts w:ascii="Arial" w:hAnsi="Arial" w:cs="Arial"/>
          <w:sz w:val="22"/>
          <w:szCs w:val="22"/>
        </w:rPr>
        <w:t>8 MP, 6 MP, 5 MP, 4 MP, 1080p at 30 fps,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>720p at 60 fps</w:t>
      </w:r>
    </w:p>
    <w:p w14:paraId="54465960" w14:textId="0007AD6E" w:rsidR="00890FB9" w:rsidRDefault="00890FB9" w:rsidP="00C132F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="00C132F9" w:rsidRPr="00C132F9">
        <w:rPr>
          <w:rFonts w:ascii="Arial" w:hAnsi="Arial" w:cs="Arial"/>
          <w:sz w:val="22"/>
          <w:szCs w:val="22"/>
        </w:rPr>
        <w:t>8 MP, 5 MP, 4 MP, 3 MP, 1080p, 720p at 30 fps</w:t>
      </w:r>
    </w:p>
    <w:p w14:paraId="6BDC6E39" w14:textId="1C3094CD" w:rsidR="00890FB9" w:rsidRDefault="00890FB9" w:rsidP="00C132F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="00C132F9" w:rsidRPr="00C132F9">
        <w:rPr>
          <w:rFonts w:ascii="Arial" w:hAnsi="Arial" w:cs="Arial"/>
          <w:sz w:val="22"/>
          <w:szCs w:val="22"/>
        </w:rPr>
        <w:t>8 MP, 5 MP, 4 MP, 3 MP, 1080p,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2087F0F0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C132F9">
        <w:rPr>
          <w:rFonts w:ascii="Arial" w:hAnsi="Arial" w:cs="Arial"/>
          <w:sz w:val="22"/>
          <w:szCs w:val="22"/>
        </w:rPr>
        <w:t>two (2</w:t>
      </w:r>
      <w:r w:rsidR="00890FB9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244E160B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7D18CA">
        <w:rPr>
          <w:rFonts w:ascii="Arial" w:hAnsi="Arial" w:cs="Arial"/>
          <w:sz w:val="22"/>
          <w:szCs w:val="22"/>
        </w:rPr>
        <w:t>16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59B4D9BA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FB0470">
        <w:rPr>
          <w:rFonts w:ascii="Arial" w:hAnsi="Arial" w:cs="Arial"/>
          <w:sz w:val="22"/>
          <w:szCs w:val="22"/>
        </w:rPr>
        <w:t xml:space="preserve"> </w:t>
      </w:r>
      <w:r w:rsidR="007D18CA">
        <w:rPr>
          <w:rFonts w:ascii="Arial" w:hAnsi="Arial" w:cs="Arial"/>
          <w:sz w:val="22"/>
          <w:szCs w:val="22"/>
        </w:rPr>
        <w:t>eight (8)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9F3675A" w:rsidR="00A53B47" w:rsidRDefault="009F74BC" w:rsidP="00C132F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</w:t>
      </w:r>
      <w:r w:rsidR="00C132F9" w:rsidRPr="00C132F9">
        <w:rPr>
          <w:rFonts w:ascii="Arial" w:hAnsi="Arial" w:cs="Arial"/>
          <w:sz w:val="22"/>
          <w:szCs w:val="22"/>
        </w:rPr>
        <w:t>1/4/8/9/16/25/36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32349C36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C132F9">
        <w:rPr>
          <w:rFonts w:ascii="Arial" w:hAnsi="Arial" w:cs="Arial"/>
          <w:sz w:val="22"/>
          <w:szCs w:val="22"/>
        </w:rPr>
        <w:t>8192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58055371" w:rsidR="00B75159" w:rsidRPr="00C132F9" w:rsidRDefault="004048F0" w:rsidP="00283DC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32F9">
        <w:rPr>
          <w:rFonts w:ascii="Arial" w:hAnsi="Arial" w:cs="Arial"/>
          <w:sz w:val="22"/>
          <w:szCs w:val="22"/>
        </w:rPr>
        <w:t>Main Stream:</w:t>
      </w:r>
      <w:r w:rsidR="005C53E6" w:rsidRP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 xml:space="preserve">8 MP at </w:t>
      </w:r>
      <w:r w:rsidR="007D18CA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C132F9" w:rsidRPr="00C132F9">
        <w:rPr>
          <w:rFonts w:ascii="Arial" w:hAnsi="Arial" w:cs="Arial"/>
          <w:sz w:val="22"/>
          <w:szCs w:val="22"/>
        </w:rPr>
        <w:t xml:space="preserve"> fps</w:t>
      </w:r>
      <w:r w:rsidR="00C132F9" w:rsidRPr="00C132F9">
        <w:rPr>
          <w:rFonts w:ascii="Arial" w:hAnsi="Arial" w:cs="Arial"/>
          <w:sz w:val="22"/>
          <w:szCs w:val="22"/>
        </w:rPr>
        <w:t xml:space="preserve">, </w:t>
      </w:r>
      <w:r w:rsidR="00C132F9" w:rsidRPr="00C132F9">
        <w:rPr>
          <w:rFonts w:ascii="Arial" w:hAnsi="Arial" w:cs="Arial"/>
          <w:sz w:val="22"/>
          <w:szCs w:val="22"/>
        </w:rPr>
        <w:t>6 MP or 5 MP at 25 fps,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>4 K-N, 4 MP, 1080p, 720p, 960H, D1, or CIF at 30 fps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2E7B89DA" w:rsidR="00B53C0A" w:rsidRDefault="00B53C0A" w:rsidP="00C132F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offer </w:t>
      </w:r>
      <w:r w:rsidR="00C132F9" w:rsidRPr="00C132F9">
        <w:rPr>
          <w:rFonts w:ascii="Arial" w:hAnsi="Arial" w:cs="Arial"/>
          <w:sz w:val="22"/>
          <w:szCs w:val="22"/>
        </w:rPr>
        <w:t xml:space="preserve">G.711a, G.711Mu, PCM, </w:t>
      </w:r>
      <w:proofErr w:type="gramStart"/>
      <w:r w:rsidR="00C132F9" w:rsidRPr="00C132F9">
        <w:rPr>
          <w:rFonts w:ascii="Arial" w:hAnsi="Arial" w:cs="Arial"/>
          <w:sz w:val="22"/>
          <w:szCs w:val="22"/>
        </w:rPr>
        <w:t>AAC</w:t>
      </w:r>
      <w:proofErr w:type="gramEnd"/>
      <w:r w:rsidR="00C132F9">
        <w:rPr>
          <w:rFonts w:ascii="Arial" w:hAnsi="Arial" w:cs="Arial"/>
          <w:sz w:val="22"/>
          <w:szCs w:val="22"/>
        </w:rPr>
        <w:t>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5DE9AD34" w:rsidR="00735410" w:rsidRPr="005278DC" w:rsidRDefault="00FB047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</w:t>
      </w:r>
    </w:p>
    <w:p w14:paraId="44DEAA53" w14:textId="5F3E8903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</w:t>
      </w:r>
      <w:r w:rsidR="00FB0470">
        <w:rPr>
          <w:rFonts w:ascii="Arial" w:hAnsi="Arial" w:cs="Arial"/>
          <w:sz w:val="22"/>
          <w:szCs w:val="22"/>
        </w:rPr>
        <w:t xml:space="preserve"> Analytics+ Perimeter Protection </w:t>
      </w:r>
      <w:r w:rsidR="00C04614">
        <w:rPr>
          <w:rFonts w:ascii="Arial" w:hAnsi="Arial" w:cs="Arial"/>
          <w:sz w:val="22"/>
          <w:szCs w:val="22"/>
        </w:rPr>
        <w:t xml:space="preserve">and Smart Motion Detection </w:t>
      </w:r>
      <w:r w:rsidR="00FB0470">
        <w:rPr>
          <w:rFonts w:ascii="Arial" w:hAnsi="Arial" w:cs="Arial"/>
          <w:sz w:val="22"/>
          <w:szCs w:val="22"/>
        </w:rPr>
        <w:t>functions</w:t>
      </w:r>
      <w:r w:rsidR="00735410">
        <w:rPr>
          <w:rFonts w:ascii="Arial" w:hAnsi="Arial" w:cs="Arial"/>
          <w:sz w:val="22"/>
          <w:szCs w:val="22"/>
        </w:rPr>
        <w:t>.</w:t>
      </w:r>
    </w:p>
    <w:p w14:paraId="202C517A" w14:textId="7D1B342B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and Smart Motion Detection analytics shall offer increased alarm accuracy.</w:t>
      </w:r>
    </w:p>
    <w:p w14:paraId="09988859" w14:textId="469CE673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distinguish between human and vehicle objects.</w:t>
      </w:r>
    </w:p>
    <w:p w14:paraId="6E6F8060" w14:textId="50037972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analytic shall allow ten (10) tripwire/intrusion rules per each channel (up to </w:t>
      </w:r>
      <w:r w:rsidR="00C132F9">
        <w:rPr>
          <w:rFonts w:ascii="Arial" w:hAnsi="Arial" w:cs="Arial"/>
          <w:sz w:val="22"/>
          <w:szCs w:val="22"/>
        </w:rPr>
        <w:t>six (6</w:t>
      </w:r>
      <w:r>
        <w:rPr>
          <w:rFonts w:ascii="Arial" w:hAnsi="Arial" w:cs="Arial"/>
          <w:sz w:val="22"/>
          <w:szCs w:val="22"/>
        </w:rPr>
        <w:t>) channels).</w:t>
      </w:r>
    </w:p>
    <w:p w14:paraId="0C41A21F" w14:textId="401E91C9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Smart Motion Detection analytic shall </w:t>
      </w:r>
      <w:r w:rsidR="00C04614">
        <w:rPr>
          <w:rFonts w:ascii="Arial" w:hAnsi="Arial" w:cs="Arial"/>
          <w:sz w:val="22"/>
          <w:szCs w:val="22"/>
        </w:rPr>
        <w:t>distinguish between human and vehicle objects.</w:t>
      </w:r>
    </w:p>
    <w:p w14:paraId="75E7DA5F" w14:textId="63AC3754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Smart Motion Detection analytic shall allow configuration on up to 16 channels.</w:t>
      </w:r>
    </w:p>
    <w:p w14:paraId="2D3919A1" w14:textId="48A2C751" w:rsidR="00735410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and Smart Motion Detection analytics shall offer searching by channel, time, event type, and target type. </w:t>
      </w:r>
    </w:p>
    <w:p w14:paraId="02990969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7C5456B" w14:textId="77777777" w:rsidR="00C04614" w:rsidRPr="005278DC" w:rsidRDefault="00C04614" w:rsidP="00C0461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3D56F11F" w:rsidR="00DC5AC2" w:rsidRPr="007A2179" w:rsidRDefault="009F74BC" w:rsidP="00C132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</w:t>
      </w:r>
      <w:r w:rsidR="00C132F9" w:rsidRPr="00C132F9">
        <w:rPr>
          <w:rFonts w:ascii="Arial" w:hAnsi="Arial" w:cs="Arial"/>
          <w:sz w:val="22"/>
          <w:szCs w:val="22"/>
        </w:rPr>
        <w:t xml:space="preserve">100 VAC to </w:t>
      </w:r>
      <w:r w:rsidR="00C132F9">
        <w:rPr>
          <w:rFonts w:ascii="Arial" w:hAnsi="Arial" w:cs="Arial"/>
          <w:sz w:val="22"/>
          <w:szCs w:val="22"/>
        </w:rPr>
        <w:br/>
      </w:r>
      <w:r w:rsidR="00C132F9" w:rsidRPr="00C132F9">
        <w:rPr>
          <w:rFonts w:ascii="Arial" w:hAnsi="Arial" w:cs="Arial"/>
          <w:sz w:val="22"/>
          <w:szCs w:val="22"/>
        </w:rPr>
        <w:t>240 VAC, 50/60 Hz</w:t>
      </w:r>
      <w:r w:rsidR="00C132F9">
        <w:rPr>
          <w:rFonts w:ascii="Arial" w:hAnsi="Arial" w:cs="Arial"/>
          <w:sz w:val="22"/>
          <w:szCs w:val="22"/>
        </w:rPr>
        <w:t xml:space="preserve"> </w:t>
      </w:r>
      <w:r w:rsidR="00774040" w:rsidRPr="007A2179">
        <w:rPr>
          <w:rFonts w:ascii="Arial" w:hAnsi="Arial" w:cs="Arial"/>
          <w:sz w:val="22"/>
          <w:szCs w:val="22"/>
        </w:rPr>
        <w:t xml:space="preserve">power </w:t>
      </w:r>
      <w:r w:rsidR="00C04614">
        <w:rPr>
          <w:rFonts w:ascii="Arial" w:hAnsi="Arial" w:cs="Arial"/>
          <w:sz w:val="22"/>
          <w:szCs w:val="22"/>
        </w:rPr>
        <w:t>adapter</w:t>
      </w:r>
      <w:r w:rsidR="00774040" w:rsidRPr="007A2179">
        <w:rPr>
          <w:rFonts w:ascii="Arial" w:hAnsi="Arial" w:cs="Arial"/>
          <w:sz w:val="22"/>
          <w:szCs w:val="22"/>
        </w:rPr>
        <w:t xml:space="preserve"> and consume less than </w:t>
      </w:r>
      <w:r w:rsidR="00C132F9">
        <w:rPr>
          <w:rFonts w:ascii="Arial" w:hAnsi="Arial" w:cs="Arial"/>
          <w:sz w:val="22"/>
          <w:szCs w:val="22"/>
        </w:rPr>
        <w:t>30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37717" w14:textId="77777777" w:rsidR="00BF01D0" w:rsidRDefault="00BF01D0">
      <w:r>
        <w:separator/>
      </w:r>
    </w:p>
  </w:endnote>
  <w:endnote w:type="continuationSeparator" w:id="0">
    <w:p w14:paraId="60426EAE" w14:textId="77777777" w:rsidR="00BF01D0" w:rsidRDefault="00BF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3E3B58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D18CA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305F0035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975D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1476543F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7069F">
      <w:rPr>
        <w:rFonts w:ascii="Arial" w:hAnsi="Arial"/>
        <w:noProof/>
        <w:sz w:val="20"/>
        <w:szCs w:val="20"/>
      </w:rPr>
      <w:t>1-28-21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132F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2F829D1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C132F9">
      <w:rPr>
        <w:rFonts w:ascii="Arial" w:hAnsi="Arial" w:cs="Arial"/>
        <w:sz w:val="16"/>
        <w:szCs w:val="16"/>
      </w:rPr>
      <w:t>1</w:t>
    </w:r>
    <w:r w:rsidR="00C132F9">
      <w:rPr>
        <w:rFonts w:ascii="Arial" w:hAnsi="Arial" w:cs="Arial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EB1F" w14:textId="77777777" w:rsidR="00BF01D0" w:rsidRDefault="00BF01D0">
      <w:r>
        <w:separator/>
      </w:r>
    </w:p>
  </w:footnote>
  <w:footnote w:type="continuationSeparator" w:id="0">
    <w:p w14:paraId="5A371BF4" w14:textId="77777777" w:rsidR="00BF01D0" w:rsidRDefault="00BF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069F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18CA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510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5686C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975DD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01D0"/>
    <w:rsid w:val="00BF3655"/>
    <w:rsid w:val="00BF7851"/>
    <w:rsid w:val="00C009E4"/>
    <w:rsid w:val="00C04614"/>
    <w:rsid w:val="00C06603"/>
    <w:rsid w:val="00C078A2"/>
    <w:rsid w:val="00C12A45"/>
    <w:rsid w:val="00C132F9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0A95"/>
    <w:rsid w:val="00EB1EC0"/>
    <w:rsid w:val="00EB7804"/>
    <w:rsid w:val="00EB7988"/>
    <w:rsid w:val="00EC1674"/>
    <w:rsid w:val="00EC17D9"/>
    <w:rsid w:val="00ED3631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0470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F8F6-3B08-475D-A85D-6462B33C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13181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2016-09-26T15:17:00Z</cp:lastPrinted>
  <dcterms:created xsi:type="dcterms:W3CDTF">2021-01-28T15:28:00Z</dcterms:created>
  <dcterms:modified xsi:type="dcterms:W3CDTF">2021-01-28T20:45:00Z</dcterms:modified>
</cp:coreProperties>
</file>