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1E2C416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36683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236716B5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136683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E41AD4E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36683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DF58FB">
        <w:rPr>
          <w:rFonts w:ascii="Arial" w:hAnsi="Arial" w:cs="Arial"/>
          <w:b/>
          <w:sz w:val="22"/>
          <w:szCs w:val="22"/>
        </w:rPr>
        <w:t>EYEBALL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105E29D9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13668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13668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24785CE0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13668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13668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5707FA33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13668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13668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0881B1A4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13668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13668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E767B7D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136683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136683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C4A1E7C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51F0A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136683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62BB9A8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73AC0D1A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7DF02CDF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4EB1A6A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6D671311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58D5AE3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001D52B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4527BA36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251F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251F0A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74536D8D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4745FAA3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0065580F" w14:textId="270E4F98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69EED238" w:rsid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136683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0D1FC31C" w14:textId="4577FA24" w:rsidR="00251F0A" w:rsidRPr="00D13F67" w:rsidRDefault="00251F0A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Eyeball camera shall offer a built-in microphone.</w:t>
      </w:r>
    </w:p>
    <w:p w14:paraId="6D37A98E" w14:textId="4BD24D25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6CC63DF4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1B603AB0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1483050E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31AB16E0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0A799034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136683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67B77EA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136683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00D0142D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136683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2BF9231" w14:textId="77777777" w:rsidR="00C34A2A" w:rsidRPr="0094612F" w:rsidRDefault="00C34A2A" w:rsidP="00C34A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4C2BE8C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251F0A">
        <w:rPr>
          <w:rFonts w:ascii="Arial" w:hAnsi="Arial" w:cs="Arial"/>
          <w:sz w:val="22"/>
          <w:szCs w:val="22"/>
        </w:rPr>
        <w:t>EYEBALL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</w:t>
      </w:r>
      <w:r w:rsidR="002D542D">
        <w:rPr>
          <w:rFonts w:ascii="Arial" w:hAnsi="Arial" w:cs="Arial"/>
          <w:sz w:val="22"/>
          <w:szCs w:val="22"/>
        </w:rPr>
        <w:t>J</w:t>
      </w:r>
      <w:r w:rsidR="005C5E82">
        <w:rPr>
          <w:rFonts w:ascii="Arial" w:hAnsi="Arial" w:cs="Arial"/>
          <w:sz w:val="22"/>
          <w:szCs w:val="22"/>
        </w:rPr>
        <w:t>52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4EDF203E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13668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3DE80DC1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49BB0717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5031C6ED" w14:textId="0F7BC61C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3866792A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8F5B1D2" w14:textId="7CC91FB8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15B518BF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436F58FF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60E8910C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251F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m </w:t>
      </w:r>
      <w:r>
        <w:rPr>
          <w:rFonts w:ascii="Arial" w:hAnsi="Arial" w:cs="Arial"/>
          <w:sz w:val="22"/>
          <w:szCs w:val="22"/>
        </w:rPr>
        <w:br/>
        <w:t>(</w:t>
      </w:r>
      <w:r w:rsidR="00251F0A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A8B7504" w14:textId="19F5C08C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0A5BA2B3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7314E7ED" w14:textId="7A820256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75436A78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</w:t>
      </w:r>
      <w:r w:rsidR="0013668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51367AE0" w14:textId="78AB91C9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46484133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7F8BD2C0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3A866314" w14:textId="3A8788B7" w:rsidR="005C5E82" w:rsidRPr="00A57351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6CE24920" w:rsidR="009A508D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13A7522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E8FB4F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136683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42430F66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58AC40B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693D68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8°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C0A33DB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B569DE0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6B08256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two (2</w:t>
      </w:r>
      <w:r w:rsidR="00D75139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D751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48715F7A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251F0A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251F0A">
        <w:rPr>
          <w:rFonts w:ascii="Arial" w:hAnsi="Arial" w:cs="Arial"/>
          <w:sz w:val="22"/>
          <w:szCs w:val="22"/>
        </w:rPr>
        <w:t xml:space="preserve">98.43 </w:t>
      </w:r>
      <w:r>
        <w:rPr>
          <w:rFonts w:ascii="Arial" w:hAnsi="Arial" w:cs="Arial"/>
          <w:sz w:val="22"/>
          <w:szCs w:val="22"/>
        </w:rPr>
        <w:t>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8477692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77725E1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40EA6D1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FE305B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C31AA8D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20A6547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A477B6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6175AC6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064214A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89FC586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734A2991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6D6BB4C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6DB8036D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Pr="0045731E"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0BD529A4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0220E21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FF0002B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136683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361EC24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432AD38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58EE1A8D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04240C9C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21F642F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77343C0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5856B38F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7F531F7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2CE5ADEB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7E1CB974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39C33D59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13668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544D89B9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234205F1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D542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37ECAE4" w:rsidR="002B5192" w:rsidRPr="002B5192" w:rsidRDefault="00D957B2" w:rsidP="002D54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AD1229F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C780500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758DE7B5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7739DD1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2BC988E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E9DFFD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2F1FB1E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136683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1C8504F" w14:textId="46BFB16F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4306BBC0" w14:textId="298F612C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23F428EF" w14:textId="660325A6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59B408E0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109CC9E9" w14:textId="30DB5D8F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235BA6C" w14:textId="0C9CC324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5711B" w14:textId="77777777" w:rsidR="001615A5" w:rsidRDefault="001615A5">
      <w:r>
        <w:separator/>
      </w:r>
    </w:p>
  </w:endnote>
  <w:endnote w:type="continuationSeparator" w:id="0">
    <w:p w14:paraId="62C85CC0" w14:textId="77777777" w:rsidR="001615A5" w:rsidRDefault="0016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3E7A163A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36683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6631B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793A70E1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36683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6631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128F9C24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36683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6631B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D26CB" w14:textId="77777777" w:rsidR="001615A5" w:rsidRDefault="001615A5">
      <w:r>
        <w:separator/>
      </w:r>
    </w:p>
  </w:footnote>
  <w:footnote w:type="continuationSeparator" w:id="0">
    <w:p w14:paraId="635199B4" w14:textId="77777777" w:rsidR="001615A5" w:rsidRDefault="0016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36683"/>
    <w:rsid w:val="00143D0D"/>
    <w:rsid w:val="00143F1E"/>
    <w:rsid w:val="001442AD"/>
    <w:rsid w:val="0014486F"/>
    <w:rsid w:val="0015165E"/>
    <w:rsid w:val="00154D1A"/>
    <w:rsid w:val="0016028B"/>
    <w:rsid w:val="001615A5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1F0A"/>
    <w:rsid w:val="002646A7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542D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436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6631B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4A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5139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DF58FB"/>
    <w:rsid w:val="00E065EA"/>
    <w:rsid w:val="00E135D7"/>
    <w:rsid w:val="00E13F76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C5302-2735-CF4A-A90C-7E020247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15454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3</cp:revision>
  <cp:lastPrinted>2016-09-26T15:31:00Z</cp:lastPrinted>
  <dcterms:created xsi:type="dcterms:W3CDTF">2022-11-29T21:58:00Z</dcterms:created>
  <dcterms:modified xsi:type="dcterms:W3CDTF">2022-11-29T21:58:00Z</dcterms:modified>
</cp:coreProperties>
</file>